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71E" w:rsidRPr="002515B1" w:rsidRDefault="00F3571E" w:rsidP="00F3571E">
      <w:pPr>
        <w:pStyle w:val="Heading1"/>
        <w:ind w:right="545"/>
        <w:rPr>
          <w:color w:val="2E74B5"/>
        </w:rPr>
      </w:pPr>
      <w:bookmarkStart w:id="0" w:name="_GoBack"/>
      <w:bookmarkEnd w:id="0"/>
      <w:r>
        <w:rPr>
          <w:rStyle w:val="Heading1"/>
          <w:color w:val="2E74B5"/>
        </w:rPr>
        <w:t>Point 10 de l</w:t>
      </w:r>
      <w:r>
        <w:rPr>
          <w:rStyle w:val="Heading1"/>
          <w:rFonts w:cs="Century Gothic"/>
          <w:color w:val="2E74B5"/>
          <w:cs/>
        </w:rPr>
        <w:t>’</w:t>
      </w:r>
      <w:r>
        <w:rPr>
          <w:rStyle w:val="Heading1"/>
          <w:color w:val="2E74B5"/>
        </w:rPr>
        <w:t>ordre du jour : groupe de travail GAC-Conseil d</w:t>
      </w:r>
      <w:r>
        <w:rPr>
          <w:rStyle w:val="Heading1"/>
          <w:rFonts w:cs="Century Gothic"/>
          <w:color w:val="2E74B5"/>
          <w:cs/>
        </w:rPr>
        <w:t>’</w:t>
      </w:r>
      <w:r>
        <w:rPr>
          <w:rStyle w:val="Heading1"/>
          <w:color w:val="2E74B5"/>
        </w:rPr>
        <w:t>administration sur la mise en œuvre des recommandations (BGRI)</w:t>
      </w:r>
    </w:p>
    <w:p w:rsidR="00F3571E" w:rsidRPr="00C365F8" w:rsidRDefault="00F3571E" w:rsidP="00F3571E">
      <w:pPr>
        <w:pStyle w:val="Heading2"/>
        <w:rPr>
          <w:b w:val="0"/>
          <w:sz w:val="20"/>
          <w:szCs w:val="20"/>
        </w:rPr>
      </w:pPr>
      <w:r>
        <w:rPr>
          <w:rStyle w:val="Heading2"/>
          <w:sz w:val="20"/>
        </w:rPr>
        <w:t xml:space="preserve">Note : </w:t>
      </w:r>
      <w:r>
        <w:rPr>
          <w:rStyle w:val="Heading2"/>
          <w:b w:val="0"/>
          <w:color w:val="000000"/>
          <w:sz w:val="20"/>
        </w:rPr>
        <w:t xml:space="preserve">le présent document a été </w:t>
      </w:r>
      <w:r w:rsidR="00DB31D6">
        <w:rPr>
          <w:rStyle w:val="Heading2"/>
          <w:b w:val="0"/>
          <w:color w:val="000000"/>
          <w:sz w:val="20"/>
        </w:rPr>
        <w:t>préparé par</w:t>
      </w:r>
      <w:r>
        <w:rPr>
          <w:rStyle w:val="Heading2"/>
          <w:b w:val="0"/>
          <w:color w:val="000000"/>
          <w:sz w:val="20"/>
        </w:rPr>
        <w:t xml:space="preserve"> le personnel de soutien de l</w:t>
      </w:r>
      <w:r>
        <w:rPr>
          <w:rStyle w:val="Heading2"/>
          <w:rFonts w:cs="Century Gothic"/>
          <w:b w:val="0"/>
          <w:color w:val="000000"/>
          <w:sz w:val="20"/>
          <w:cs/>
        </w:rPr>
        <w:t>’</w:t>
      </w:r>
      <w:r>
        <w:rPr>
          <w:rStyle w:val="Heading2"/>
          <w:b w:val="0"/>
          <w:color w:val="000000"/>
          <w:sz w:val="20"/>
        </w:rPr>
        <w:t>ICANN.</w:t>
      </w:r>
    </w:p>
    <w:p w:rsidR="00F3571E" w:rsidRPr="00C365F8" w:rsidRDefault="00F3571E" w:rsidP="00F3571E">
      <w:pPr>
        <w:pStyle w:val="BodyText"/>
      </w:pPr>
    </w:p>
    <w:p w:rsidR="00F3571E" w:rsidRPr="00EA4C85" w:rsidRDefault="00F3571E" w:rsidP="00F3571E">
      <w:pPr>
        <w:pStyle w:val="Heading2"/>
      </w:pPr>
      <w:r>
        <w:rPr>
          <w:rStyle w:val="Heading2"/>
        </w:rPr>
        <w:t>Problématique :</w:t>
      </w:r>
    </w:p>
    <w:p w:rsidR="00F3571E" w:rsidRPr="002515B1" w:rsidRDefault="00F3571E" w:rsidP="00F3571E">
      <w:pPr>
        <w:pStyle w:val="Heading2"/>
        <w:rPr>
          <w:b w:val="0"/>
          <w:color w:val="000000"/>
          <w:sz w:val="20"/>
          <w:szCs w:val="20"/>
        </w:rPr>
      </w:pPr>
      <w:r>
        <w:rPr>
          <w:rStyle w:val="Heading2"/>
        </w:rPr>
        <w:tab/>
      </w:r>
      <w:r>
        <w:br/>
      </w:r>
      <w:r>
        <w:rPr>
          <w:rStyle w:val="Heading2"/>
          <w:b w:val="0"/>
          <w:color w:val="000000"/>
          <w:sz w:val="20"/>
        </w:rPr>
        <w:t>Les efforts visant à améliorer le traitement et le suivi de l</w:t>
      </w:r>
      <w:r>
        <w:rPr>
          <w:rStyle w:val="Heading2"/>
          <w:rFonts w:cs="Century Gothic"/>
          <w:b w:val="0"/>
          <w:color w:val="000000"/>
          <w:sz w:val="20"/>
          <w:cs/>
        </w:rPr>
        <w:t>’</w:t>
      </w:r>
      <w:r>
        <w:rPr>
          <w:rStyle w:val="Heading2"/>
          <w:b w:val="0"/>
          <w:color w:val="000000"/>
          <w:sz w:val="20"/>
        </w:rPr>
        <w:t>avis du GAC ont été un objectif sous-jacent du Conseil d</w:t>
      </w:r>
      <w:r>
        <w:rPr>
          <w:rStyle w:val="Heading2"/>
          <w:rFonts w:cs="Century Gothic"/>
          <w:b w:val="0"/>
          <w:color w:val="000000"/>
          <w:sz w:val="20"/>
          <w:cs/>
        </w:rPr>
        <w:t>’</w:t>
      </w:r>
      <w:r>
        <w:rPr>
          <w:rStyle w:val="Heading2"/>
          <w:b w:val="0"/>
          <w:color w:val="000000"/>
          <w:sz w:val="20"/>
        </w:rPr>
        <w:t>administration et du GAC pendant un certain temps.  Le GAC s</w:t>
      </w:r>
      <w:r>
        <w:rPr>
          <w:rStyle w:val="Heading2"/>
          <w:rFonts w:cs="Century Gothic"/>
          <w:b w:val="0"/>
          <w:color w:val="000000"/>
          <w:sz w:val="20"/>
          <w:cs/>
        </w:rPr>
        <w:t>’</w:t>
      </w:r>
      <w:r>
        <w:rPr>
          <w:rStyle w:val="Heading2"/>
          <w:b w:val="0"/>
          <w:color w:val="000000"/>
          <w:sz w:val="20"/>
        </w:rPr>
        <w:t>est rendu compte que les améliorations apportées à ses méthodes de travail et à ses efforts visant à perfectionner les processus entre le GAC et le Conseil d</w:t>
      </w:r>
      <w:r>
        <w:rPr>
          <w:rStyle w:val="Heading2"/>
          <w:rFonts w:cs="Century Gothic"/>
          <w:b w:val="0"/>
          <w:color w:val="000000"/>
          <w:sz w:val="20"/>
          <w:cs/>
        </w:rPr>
        <w:t>’</w:t>
      </w:r>
      <w:r>
        <w:rPr>
          <w:rStyle w:val="Heading2"/>
          <w:b w:val="0"/>
          <w:color w:val="000000"/>
          <w:sz w:val="20"/>
        </w:rPr>
        <w:t>administration de l</w:t>
      </w:r>
      <w:r>
        <w:rPr>
          <w:rStyle w:val="Heading2"/>
          <w:rFonts w:cs="Century Gothic"/>
          <w:b w:val="0"/>
          <w:color w:val="000000"/>
          <w:sz w:val="20"/>
          <w:cs/>
        </w:rPr>
        <w:t>’</w:t>
      </w:r>
      <w:r>
        <w:rPr>
          <w:rStyle w:val="Heading2"/>
          <w:b w:val="0"/>
          <w:color w:val="000000"/>
          <w:sz w:val="20"/>
        </w:rPr>
        <w:t>ICANN ont progressé au cours des dernières années.</w:t>
      </w:r>
    </w:p>
    <w:p w:rsidR="00F3571E" w:rsidRPr="00C365F8" w:rsidRDefault="00F3571E" w:rsidP="00F3571E">
      <w:pPr>
        <w:pStyle w:val="BodyText"/>
        <w:rPr>
          <w:sz w:val="20"/>
          <w:szCs w:val="20"/>
        </w:rPr>
      </w:pPr>
    </w:p>
    <w:p w:rsidR="00F3571E" w:rsidRPr="002515B1" w:rsidRDefault="00F3571E" w:rsidP="00F3571E">
      <w:pPr>
        <w:pStyle w:val="BodyText"/>
        <w:spacing w:after="0" w:line="276" w:lineRule="auto"/>
        <w:rPr>
          <w:rFonts w:ascii="Century Gothic" w:hAnsi="Century Gothic"/>
          <w:color w:val="000000"/>
          <w:sz w:val="20"/>
          <w:szCs w:val="20"/>
        </w:rPr>
      </w:pPr>
      <w:r>
        <w:rPr>
          <w:rStyle w:val="BodyText"/>
          <w:rFonts w:ascii="Century Gothic" w:hAnsi="Century Gothic"/>
          <w:color w:val="000000"/>
          <w:sz w:val="20"/>
        </w:rPr>
        <w:t>Le groupe de travail GAC-Conseil d</w:t>
      </w:r>
      <w:r>
        <w:rPr>
          <w:rStyle w:val="BodyText"/>
          <w:rFonts w:ascii="Century Gothic" w:hAnsi="Century Gothic" w:cs="Century Gothic"/>
          <w:color w:val="000000"/>
          <w:sz w:val="20"/>
          <w:cs/>
        </w:rPr>
        <w:t>’</w:t>
      </w:r>
      <w:r>
        <w:rPr>
          <w:rStyle w:val="BodyText"/>
          <w:rFonts w:ascii="Century Gothic" w:hAnsi="Century Gothic"/>
          <w:color w:val="000000"/>
          <w:sz w:val="20"/>
        </w:rPr>
        <w:t>administration sur la mise en œuvre des recommandations, formé en 2011 pour répondre aux recommandations de la première équipe de révision de la responsabilité et de la transparence (ATRT), s</w:t>
      </w:r>
      <w:r>
        <w:rPr>
          <w:rStyle w:val="BodyText"/>
          <w:rFonts w:ascii="Century Gothic" w:hAnsi="Century Gothic" w:cs="Century Gothic"/>
          <w:color w:val="000000"/>
          <w:sz w:val="20"/>
          <w:cs/>
        </w:rPr>
        <w:t>’</w:t>
      </w:r>
      <w:r>
        <w:rPr>
          <w:rStyle w:val="BodyText"/>
          <w:rFonts w:ascii="Century Gothic" w:hAnsi="Century Gothic"/>
          <w:color w:val="000000"/>
          <w:sz w:val="20"/>
        </w:rPr>
        <w:t>est avéré être un véhicule utile pour maintenir un dialogue régulier entre le Conseil et les membres du GAC.  À ce jour, le travail a permis d</w:t>
      </w:r>
      <w:r>
        <w:rPr>
          <w:rStyle w:val="BodyText"/>
          <w:rFonts w:ascii="Century Gothic" w:hAnsi="Century Gothic" w:cs="Century Gothic"/>
          <w:color w:val="000000"/>
          <w:sz w:val="20"/>
          <w:cs/>
        </w:rPr>
        <w:t>’</w:t>
      </w:r>
      <w:r>
        <w:rPr>
          <w:rStyle w:val="BodyText"/>
          <w:rFonts w:ascii="Century Gothic" w:hAnsi="Century Gothic"/>
          <w:color w:val="000000"/>
          <w:sz w:val="20"/>
        </w:rPr>
        <w:t>améliorer la réception, l</w:t>
      </w:r>
      <w:r>
        <w:rPr>
          <w:rStyle w:val="BodyText"/>
          <w:rFonts w:ascii="Century Gothic" w:hAnsi="Century Gothic" w:cs="Century Gothic"/>
          <w:color w:val="000000"/>
          <w:sz w:val="20"/>
          <w:cs/>
        </w:rPr>
        <w:t>’</w:t>
      </w:r>
      <w:r>
        <w:rPr>
          <w:rStyle w:val="BodyText"/>
          <w:rFonts w:ascii="Century Gothic" w:hAnsi="Century Gothic"/>
          <w:color w:val="000000"/>
          <w:sz w:val="20"/>
        </w:rPr>
        <w:t>examen, le traitement et le suivi de l</w:t>
      </w:r>
      <w:r>
        <w:rPr>
          <w:rStyle w:val="BodyText"/>
          <w:rFonts w:ascii="Century Gothic" w:hAnsi="Century Gothic" w:cs="Century Gothic"/>
          <w:color w:val="000000"/>
          <w:sz w:val="20"/>
          <w:cs/>
        </w:rPr>
        <w:t>’</w:t>
      </w:r>
      <w:r>
        <w:rPr>
          <w:rStyle w:val="BodyText"/>
          <w:rFonts w:ascii="Century Gothic" w:hAnsi="Century Gothic"/>
          <w:color w:val="000000"/>
          <w:sz w:val="20"/>
        </w:rPr>
        <w:t>avis du GAC par le Conseil d</w:t>
      </w:r>
      <w:r>
        <w:rPr>
          <w:rStyle w:val="BodyText"/>
          <w:rFonts w:ascii="Century Gothic" w:hAnsi="Century Gothic" w:cs="Century Gothic"/>
          <w:color w:val="000000"/>
          <w:sz w:val="20"/>
          <w:cs/>
        </w:rPr>
        <w:t>’</w:t>
      </w:r>
      <w:r>
        <w:rPr>
          <w:rStyle w:val="BodyText"/>
          <w:rFonts w:ascii="Century Gothic" w:hAnsi="Century Gothic"/>
          <w:color w:val="000000"/>
          <w:sz w:val="20"/>
        </w:rPr>
        <w:t>administration de l</w:t>
      </w:r>
      <w:r>
        <w:rPr>
          <w:rStyle w:val="BodyText"/>
          <w:rFonts w:ascii="Century Gothic" w:hAnsi="Century Gothic" w:cs="Century Gothic"/>
          <w:color w:val="000000"/>
          <w:sz w:val="20"/>
          <w:cs/>
        </w:rPr>
        <w:t>’</w:t>
      </w:r>
      <w:r>
        <w:rPr>
          <w:rStyle w:val="BodyText"/>
          <w:rFonts w:ascii="Century Gothic" w:hAnsi="Century Gothic"/>
          <w:color w:val="000000"/>
          <w:sz w:val="20"/>
        </w:rPr>
        <w:t>ICANN. Les questions débattues au sein du BGRI varient de la définition à proprement parler de l</w:t>
      </w:r>
      <w:r>
        <w:rPr>
          <w:rStyle w:val="BodyText"/>
          <w:rFonts w:ascii="Century Gothic" w:hAnsi="Century Gothic" w:cs="Century Gothic"/>
          <w:color w:val="000000"/>
          <w:sz w:val="20"/>
          <w:cs/>
        </w:rPr>
        <w:t>’</w:t>
      </w:r>
      <w:r>
        <w:rPr>
          <w:rStyle w:val="BodyText"/>
          <w:rFonts w:ascii="Century Gothic" w:hAnsi="Century Gothic"/>
          <w:color w:val="000000"/>
          <w:sz w:val="20"/>
        </w:rPr>
        <w:t>avis du GAC à l</w:t>
      </w:r>
      <w:r>
        <w:rPr>
          <w:rStyle w:val="BodyText"/>
          <w:rFonts w:ascii="Century Gothic" w:hAnsi="Century Gothic" w:cs="Century Gothic"/>
          <w:color w:val="000000"/>
          <w:sz w:val="20"/>
          <w:cs/>
        </w:rPr>
        <w:t>’</w:t>
      </w:r>
      <w:r>
        <w:rPr>
          <w:rStyle w:val="BodyText"/>
          <w:rFonts w:ascii="Century Gothic" w:hAnsi="Century Gothic"/>
          <w:color w:val="000000"/>
          <w:sz w:val="20"/>
        </w:rPr>
        <w:t>échange d</w:t>
      </w:r>
      <w:r>
        <w:rPr>
          <w:rStyle w:val="BodyText"/>
          <w:rFonts w:ascii="Century Gothic" w:hAnsi="Century Gothic" w:cs="Century Gothic"/>
          <w:color w:val="000000"/>
          <w:sz w:val="20"/>
          <w:cs/>
        </w:rPr>
        <w:t>’</w:t>
      </w:r>
      <w:r>
        <w:rPr>
          <w:rStyle w:val="BodyText"/>
          <w:rFonts w:ascii="Century Gothic" w:hAnsi="Century Gothic"/>
          <w:color w:val="000000"/>
          <w:sz w:val="20"/>
        </w:rPr>
        <w:t>informations entre les deux entités, au soutien du secrétariat du GAC et à l</w:t>
      </w:r>
      <w:r>
        <w:rPr>
          <w:rStyle w:val="BodyText"/>
          <w:rFonts w:ascii="Century Gothic" w:hAnsi="Century Gothic" w:cs="Century Gothic"/>
          <w:color w:val="000000"/>
          <w:sz w:val="20"/>
          <w:cs/>
        </w:rPr>
        <w:t>’</w:t>
      </w:r>
      <w:r>
        <w:rPr>
          <w:rStyle w:val="BodyText"/>
          <w:rFonts w:ascii="Century Gothic" w:hAnsi="Century Gothic"/>
          <w:color w:val="000000"/>
          <w:sz w:val="20"/>
        </w:rPr>
        <w:t>amendement des principes opérationnels du GAC entre plusieurs autres questions.</w:t>
      </w:r>
    </w:p>
    <w:p w:rsidR="00F3571E" w:rsidRPr="002515B1" w:rsidRDefault="00F3571E" w:rsidP="00F3571E">
      <w:pPr>
        <w:pStyle w:val="BodyText"/>
        <w:spacing w:line="276" w:lineRule="auto"/>
        <w:rPr>
          <w:rFonts w:ascii="Century Gothic" w:hAnsi="Century Gothic"/>
          <w:color w:val="000000"/>
          <w:sz w:val="20"/>
          <w:szCs w:val="20"/>
        </w:rPr>
      </w:pPr>
    </w:p>
    <w:p w:rsidR="00F3571E" w:rsidRPr="002515B1" w:rsidRDefault="00F3571E" w:rsidP="00F3571E">
      <w:pPr>
        <w:pStyle w:val="BodyText"/>
        <w:spacing w:after="0" w:line="276" w:lineRule="auto"/>
        <w:rPr>
          <w:rFonts w:ascii="Century Gothic" w:hAnsi="Century Gothic"/>
          <w:color w:val="000000"/>
          <w:sz w:val="20"/>
          <w:szCs w:val="20"/>
        </w:rPr>
      </w:pPr>
      <w:r>
        <w:rPr>
          <w:rStyle w:val="BodyText"/>
          <w:rFonts w:ascii="Century Gothic" w:hAnsi="Century Gothic"/>
          <w:color w:val="000000"/>
          <w:sz w:val="20"/>
        </w:rPr>
        <w:t>Plus récemment, les dirigeants du GAC et les membres du Conseil ont utilisé le BGRI comme un véhicule utile pour les discussions opérationnelles et l</w:t>
      </w:r>
      <w:r>
        <w:rPr>
          <w:rStyle w:val="BodyText"/>
          <w:rFonts w:ascii="Century Gothic" w:hAnsi="Century Gothic" w:cs="Century Gothic"/>
          <w:color w:val="000000"/>
          <w:sz w:val="20"/>
          <w:cs/>
        </w:rPr>
        <w:t>’</w:t>
      </w:r>
      <w:r>
        <w:rPr>
          <w:rStyle w:val="BodyText"/>
          <w:rFonts w:ascii="Century Gothic" w:hAnsi="Century Gothic"/>
          <w:color w:val="000000"/>
          <w:sz w:val="20"/>
        </w:rPr>
        <w:t>examen opérationnel des aspects stratégiques de leur relation de travail.</w:t>
      </w:r>
    </w:p>
    <w:p w:rsidR="00F3571E" w:rsidRPr="002515B1" w:rsidRDefault="00F3571E" w:rsidP="00F3571E">
      <w:pPr>
        <w:pStyle w:val="BodyText"/>
        <w:rPr>
          <w:rFonts w:ascii="Century Gothic" w:hAnsi="Century Gothic"/>
          <w:color w:val="000000"/>
          <w:sz w:val="20"/>
          <w:szCs w:val="20"/>
        </w:rPr>
      </w:pPr>
    </w:p>
    <w:p w:rsidR="00F3571E" w:rsidRDefault="00F3571E" w:rsidP="00F3571E">
      <w:pPr>
        <w:pStyle w:val="Heading2"/>
      </w:pPr>
      <w:r>
        <w:rPr>
          <w:rStyle w:val="Heading2"/>
        </w:rPr>
        <w:t>Action requise de la part du GAC :</w:t>
      </w:r>
    </w:p>
    <w:p w:rsidR="00F3571E" w:rsidRDefault="00F3571E" w:rsidP="00F3571E">
      <w:pPr>
        <w:pStyle w:val="BodyText"/>
      </w:pPr>
    </w:p>
    <w:p w:rsidR="00F3571E" w:rsidRPr="00C365F8" w:rsidRDefault="00F3571E" w:rsidP="00F3571E">
      <w:pPr>
        <w:pStyle w:val="BodyText"/>
        <w:rPr>
          <w:rFonts w:ascii="Century Gothic" w:hAnsi="Century Gothic"/>
          <w:sz w:val="20"/>
          <w:szCs w:val="20"/>
        </w:rPr>
      </w:pPr>
      <w:r>
        <w:rPr>
          <w:rStyle w:val="BodyText"/>
          <w:rFonts w:ascii="Century Gothic" w:hAnsi="Century Gothic"/>
          <w:sz w:val="20"/>
        </w:rPr>
        <w:t>Le travail d</w:t>
      </w:r>
      <w:r>
        <w:rPr>
          <w:rStyle w:val="BodyText"/>
          <w:rFonts w:ascii="Century Gothic" w:hAnsi="Century Gothic" w:cs="Century Gothic"/>
          <w:sz w:val="20"/>
          <w:cs/>
        </w:rPr>
        <w:t>’</w:t>
      </w:r>
      <w:r>
        <w:rPr>
          <w:rStyle w:val="BodyText"/>
          <w:rFonts w:ascii="Century Gothic" w:hAnsi="Century Gothic"/>
          <w:sz w:val="20"/>
        </w:rPr>
        <w:t>amélioration n</w:t>
      </w:r>
      <w:r>
        <w:rPr>
          <w:rStyle w:val="BodyText"/>
          <w:rFonts w:ascii="Century Gothic" w:hAnsi="Century Gothic" w:cs="Century Gothic"/>
          <w:sz w:val="20"/>
          <w:cs/>
        </w:rPr>
        <w:t>’</w:t>
      </w:r>
      <w:r>
        <w:rPr>
          <w:rStyle w:val="BodyText"/>
          <w:rFonts w:ascii="Century Gothic" w:hAnsi="Century Gothic"/>
          <w:sz w:val="20"/>
        </w:rPr>
        <w:t>est pas encore achevé et il existe des questions supplémentaires à explorer entre ces deux importants groupes de l</w:t>
      </w:r>
      <w:r>
        <w:rPr>
          <w:rStyle w:val="BodyText"/>
          <w:rFonts w:ascii="Century Gothic" w:hAnsi="Century Gothic" w:cs="Century Gothic"/>
          <w:sz w:val="20"/>
          <w:cs/>
        </w:rPr>
        <w:t>’</w:t>
      </w:r>
      <w:r>
        <w:rPr>
          <w:rStyle w:val="BodyText"/>
          <w:rFonts w:ascii="Century Gothic" w:hAnsi="Century Gothic"/>
          <w:sz w:val="20"/>
        </w:rPr>
        <w:t>ICANN.</w:t>
      </w:r>
    </w:p>
    <w:p w:rsidR="00F3571E" w:rsidRPr="000A353D" w:rsidRDefault="00F3571E" w:rsidP="00F3571E">
      <w:pPr>
        <w:pStyle w:val="BodyText"/>
      </w:pPr>
    </w:p>
    <w:p w:rsidR="00F3571E" w:rsidRDefault="00F3571E" w:rsidP="00F3571E">
      <w:pPr>
        <w:pStyle w:val="Heading2"/>
      </w:pPr>
      <w:r>
        <w:rPr>
          <w:rStyle w:val="Heading2"/>
        </w:rPr>
        <w:t>Position actuelle :</w:t>
      </w:r>
    </w:p>
    <w:p w:rsidR="00F3571E" w:rsidRDefault="00F3571E" w:rsidP="00F3571E">
      <w:pPr>
        <w:pStyle w:val="BodyText"/>
      </w:pPr>
    </w:p>
    <w:p w:rsidR="00F3571E" w:rsidRPr="00C365F8" w:rsidRDefault="00F3571E" w:rsidP="00F3571E">
      <w:pPr>
        <w:pStyle w:val="BodyText"/>
        <w:rPr>
          <w:rFonts w:ascii="Century Gothic" w:hAnsi="Century Gothic"/>
          <w:sz w:val="20"/>
          <w:szCs w:val="20"/>
        </w:rPr>
      </w:pPr>
      <w:r>
        <w:rPr>
          <w:rStyle w:val="BodyText"/>
          <w:rFonts w:ascii="Century Gothic" w:hAnsi="Century Gothic"/>
          <w:sz w:val="20"/>
        </w:rPr>
        <w:t>Bien qu</w:t>
      </w:r>
      <w:r>
        <w:rPr>
          <w:rStyle w:val="BodyText"/>
          <w:rFonts w:ascii="Century Gothic" w:hAnsi="Century Gothic" w:cs="Century Gothic"/>
          <w:sz w:val="20"/>
          <w:cs/>
        </w:rPr>
        <w:t>’</w:t>
      </w:r>
      <w:r>
        <w:rPr>
          <w:rStyle w:val="BodyText"/>
          <w:rFonts w:ascii="Century Gothic" w:hAnsi="Century Gothic"/>
          <w:sz w:val="20"/>
        </w:rPr>
        <w:t>ils soient encore en cours d</w:t>
      </w:r>
      <w:r>
        <w:rPr>
          <w:rStyle w:val="BodyText"/>
          <w:rFonts w:ascii="Century Gothic" w:hAnsi="Century Gothic" w:cs="Century Gothic"/>
          <w:sz w:val="20"/>
          <w:cs/>
        </w:rPr>
        <w:t>’</w:t>
      </w:r>
      <w:r>
        <w:rPr>
          <w:rStyle w:val="BodyText"/>
          <w:rFonts w:ascii="Century Gothic" w:hAnsi="Century Gothic"/>
          <w:sz w:val="20"/>
        </w:rPr>
        <w:t>élaboration, les points de l</w:t>
      </w:r>
      <w:r>
        <w:rPr>
          <w:rStyle w:val="BodyText"/>
          <w:rFonts w:ascii="Century Gothic" w:hAnsi="Century Gothic" w:cs="Century Gothic"/>
          <w:sz w:val="20"/>
          <w:cs/>
        </w:rPr>
        <w:t>’</w:t>
      </w:r>
      <w:r>
        <w:rPr>
          <w:rStyle w:val="BodyText"/>
          <w:rFonts w:ascii="Century Gothic" w:hAnsi="Century Gothic"/>
          <w:sz w:val="20"/>
        </w:rPr>
        <w:t>ordre du jour en discussion pour cette séance incluent les sujets suivants :</w:t>
      </w:r>
    </w:p>
    <w:p w:rsidR="00F3571E" w:rsidRPr="00C365F8" w:rsidRDefault="00F3571E" w:rsidP="00F3571E">
      <w:pPr>
        <w:pStyle w:val="BodyText"/>
        <w:rPr>
          <w:rFonts w:ascii="Century Gothic" w:hAnsi="Century Gothic"/>
          <w:sz w:val="20"/>
          <w:szCs w:val="20"/>
        </w:rPr>
      </w:pPr>
    </w:p>
    <w:p w:rsidR="00F3571E" w:rsidRPr="00C365F8" w:rsidRDefault="00F3571E" w:rsidP="00F3571E">
      <w:pPr>
        <w:pStyle w:val="BodyText"/>
        <w:ind w:left="720"/>
        <w:rPr>
          <w:rFonts w:ascii="Century Gothic" w:hAnsi="Century Gothic"/>
          <w:sz w:val="20"/>
          <w:szCs w:val="20"/>
        </w:rPr>
      </w:pPr>
      <w:r>
        <w:rPr>
          <w:rStyle w:val="BodyText"/>
          <w:rFonts w:ascii="Century Gothic" w:hAnsi="Century Gothic"/>
          <w:sz w:val="20"/>
        </w:rPr>
        <w:t>1.  Registre de demandes d</w:t>
      </w:r>
      <w:r>
        <w:rPr>
          <w:rStyle w:val="BodyText"/>
          <w:rFonts w:ascii="Century Gothic" w:hAnsi="Century Gothic" w:cs="Century Gothic"/>
          <w:sz w:val="20"/>
          <w:cs/>
        </w:rPr>
        <w:t>’</w:t>
      </w:r>
      <w:r>
        <w:rPr>
          <w:rStyle w:val="BodyText"/>
          <w:rFonts w:ascii="Century Gothic" w:hAnsi="Century Gothic"/>
          <w:sz w:val="20"/>
        </w:rPr>
        <w:t>intervention</w:t>
      </w:r>
    </w:p>
    <w:p w:rsidR="00F3571E" w:rsidRPr="00C365F8" w:rsidRDefault="00F3571E" w:rsidP="00F3571E">
      <w:pPr>
        <w:pStyle w:val="BodyText"/>
        <w:ind w:left="1440"/>
        <w:rPr>
          <w:rFonts w:ascii="Century Gothic" w:hAnsi="Century Gothic"/>
          <w:sz w:val="20"/>
          <w:szCs w:val="20"/>
        </w:rPr>
      </w:pPr>
      <w:r>
        <w:rPr>
          <w:rStyle w:val="BodyText"/>
          <w:rFonts w:ascii="Century Gothic" w:hAnsi="Century Gothic"/>
          <w:sz w:val="20"/>
        </w:rPr>
        <w:t>a. État et prochaines étapes</w:t>
      </w:r>
    </w:p>
    <w:p w:rsidR="00F3571E" w:rsidRPr="00C365F8" w:rsidRDefault="00F3571E" w:rsidP="00F3571E">
      <w:pPr>
        <w:pStyle w:val="BodyText"/>
        <w:ind w:left="1440"/>
        <w:rPr>
          <w:rFonts w:ascii="Century Gothic" w:hAnsi="Century Gothic"/>
          <w:sz w:val="20"/>
          <w:szCs w:val="20"/>
        </w:rPr>
      </w:pPr>
      <w:r>
        <w:rPr>
          <w:rStyle w:val="BodyText"/>
          <w:rFonts w:ascii="Century Gothic" w:hAnsi="Century Gothic"/>
          <w:sz w:val="20"/>
        </w:rPr>
        <w:t>B. Considération de l</w:t>
      </w:r>
      <w:r>
        <w:rPr>
          <w:rStyle w:val="BodyText"/>
          <w:rFonts w:ascii="Century Gothic" w:hAnsi="Century Gothic" w:cs="Century Gothic"/>
          <w:sz w:val="20"/>
          <w:cs/>
        </w:rPr>
        <w:t>’</w:t>
      </w:r>
      <w:r>
        <w:rPr>
          <w:rStyle w:val="BodyText"/>
          <w:rFonts w:ascii="Century Gothic" w:hAnsi="Century Gothic"/>
          <w:sz w:val="20"/>
        </w:rPr>
        <w:t>avis historique (pré-Beijing) et éventuellement d</w:t>
      </w:r>
      <w:r>
        <w:rPr>
          <w:rStyle w:val="BodyText"/>
          <w:rFonts w:ascii="Century Gothic" w:hAnsi="Century Gothic" w:cs="Century Gothic"/>
          <w:sz w:val="20"/>
          <w:cs/>
        </w:rPr>
        <w:t>’</w:t>
      </w:r>
      <w:r>
        <w:rPr>
          <w:rStyle w:val="BodyText"/>
          <w:rFonts w:ascii="Century Gothic" w:hAnsi="Century Gothic"/>
          <w:sz w:val="20"/>
        </w:rPr>
        <w:t>autres catégories (par exemple, les principes du GAC sur les ccTLD, ou sur les nouveaux gTLD ?)</w:t>
      </w:r>
    </w:p>
    <w:p w:rsidR="00F3571E" w:rsidRPr="00C365F8" w:rsidRDefault="00F3571E" w:rsidP="00F3571E">
      <w:pPr>
        <w:pStyle w:val="BodyText"/>
        <w:ind w:left="720"/>
        <w:rPr>
          <w:rFonts w:ascii="Century Gothic" w:hAnsi="Century Gothic"/>
          <w:sz w:val="20"/>
          <w:szCs w:val="20"/>
        </w:rPr>
      </w:pPr>
      <w:r>
        <w:rPr>
          <w:rStyle w:val="BodyText"/>
          <w:rFonts w:ascii="Century Gothic" w:hAnsi="Century Gothic"/>
          <w:sz w:val="20"/>
        </w:rPr>
        <w:t>2.  Suivi des informations Web à deux caractères (mise à jour de l</w:t>
      </w:r>
      <w:r>
        <w:rPr>
          <w:rStyle w:val="BodyText"/>
          <w:rFonts w:ascii="Century Gothic" w:hAnsi="Century Gothic" w:cs="Century Gothic"/>
          <w:sz w:val="20"/>
          <w:cs/>
        </w:rPr>
        <w:t>’</w:t>
      </w:r>
      <w:r>
        <w:rPr>
          <w:rStyle w:val="BodyText"/>
          <w:rFonts w:ascii="Century Gothic" w:hAnsi="Century Gothic"/>
          <w:sz w:val="20"/>
        </w:rPr>
        <w:t>équipe de gestion de produit de l</w:t>
      </w:r>
      <w:r>
        <w:rPr>
          <w:rStyle w:val="BodyText"/>
          <w:rFonts w:ascii="Century Gothic" w:hAnsi="Century Gothic" w:cs="Century Gothic"/>
          <w:sz w:val="20"/>
          <w:cs/>
        </w:rPr>
        <w:t>’</w:t>
      </w:r>
      <w:r>
        <w:rPr>
          <w:rStyle w:val="BodyText"/>
          <w:rFonts w:ascii="Century Gothic" w:hAnsi="Century Gothic"/>
          <w:sz w:val="20"/>
        </w:rPr>
        <w:t>ICANN)</w:t>
      </w:r>
    </w:p>
    <w:p w:rsidR="00F3571E" w:rsidRPr="00C365F8" w:rsidRDefault="00F3571E" w:rsidP="00F3571E">
      <w:pPr>
        <w:pStyle w:val="BodyText"/>
        <w:rPr>
          <w:rFonts w:ascii="Century Gothic" w:hAnsi="Century Gothic"/>
          <w:sz w:val="20"/>
          <w:szCs w:val="20"/>
        </w:rPr>
      </w:pPr>
    </w:p>
    <w:p w:rsidR="00F3571E" w:rsidRPr="00C365F8" w:rsidRDefault="00F3571E" w:rsidP="00F3571E">
      <w:pPr>
        <w:pStyle w:val="BodyText"/>
        <w:rPr>
          <w:rFonts w:ascii="Century Gothic" w:hAnsi="Century Gothic"/>
          <w:sz w:val="20"/>
          <w:szCs w:val="20"/>
        </w:rPr>
      </w:pPr>
      <w:r>
        <w:rPr>
          <w:rStyle w:val="BodyText"/>
          <w:rFonts w:ascii="Century Gothic" w:hAnsi="Century Gothic"/>
          <w:sz w:val="20"/>
        </w:rPr>
        <w:t>Ce point de l</w:t>
      </w:r>
      <w:r>
        <w:rPr>
          <w:rStyle w:val="BodyText"/>
          <w:rFonts w:ascii="Century Gothic" w:hAnsi="Century Gothic" w:cs="Century Gothic"/>
          <w:sz w:val="20"/>
          <w:cs/>
        </w:rPr>
        <w:t>’</w:t>
      </w:r>
      <w:r>
        <w:rPr>
          <w:rStyle w:val="BodyText"/>
          <w:rFonts w:ascii="Century Gothic" w:hAnsi="Century Gothic"/>
          <w:sz w:val="20"/>
        </w:rPr>
        <w:t>ordre du jour sera modifié avant la réunion ICANN 62.</w:t>
      </w:r>
    </w:p>
    <w:p w:rsidR="00F3571E" w:rsidRPr="00533EC9" w:rsidRDefault="00F3571E" w:rsidP="00F3571E">
      <w:pPr>
        <w:pStyle w:val="BodyText"/>
        <w:rPr>
          <w:rFonts w:ascii="Century Gothic" w:hAnsi="Century Gothic"/>
        </w:rPr>
      </w:pPr>
    </w:p>
    <w:p w:rsidR="00F3571E" w:rsidRDefault="00F3571E" w:rsidP="00F3571E">
      <w:pPr>
        <w:pStyle w:val="Heading2"/>
      </w:pPr>
      <w:r>
        <w:rPr>
          <w:rStyle w:val="Heading2"/>
        </w:rPr>
        <w:t>Plus d</w:t>
      </w:r>
      <w:r>
        <w:rPr>
          <w:rStyle w:val="Heading2"/>
          <w:rFonts w:cs="Century Gothic"/>
          <w:cs/>
        </w:rPr>
        <w:t>’</w:t>
      </w:r>
      <w:r>
        <w:rPr>
          <w:rStyle w:val="Heading2"/>
        </w:rPr>
        <w:t>informations de contexte/Détails :</w:t>
      </w:r>
    </w:p>
    <w:p w:rsidR="00F3571E" w:rsidRPr="00EA4C85" w:rsidRDefault="00F3571E" w:rsidP="00F3571E">
      <w:pPr>
        <w:pStyle w:val="BodyText"/>
      </w:pPr>
    </w:p>
    <w:p w:rsidR="00F3571E" w:rsidRPr="00C365F8" w:rsidRDefault="00F3571E" w:rsidP="00F3571E">
      <w:pPr>
        <w:pStyle w:val="Heading2"/>
        <w:rPr>
          <w:b w:val="0"/>
          <w:sz w:val="20"/>
          <w:szCs w:val="20"/>
        </w:rPr>
      </w:pPr>
      <w:r>
        <w:rPr>
          <w:rStyle w:val="Heading2"/>
          <w:b w:val="0"/>
          <w:color w:val="000000"/>
          <w:sz w:val="20"/>
        </w:rPr>
        <w:t>Le groupe de travail GAC-Conseil d</w:t>
      </w:r>
      <w:r>
        <w:rPr>
          <w:rStyle w:val="Heading2"/>
          <w:rFonts w:cs="Century Gothic"/>
          <w:b w:val="0"/>
          <w:color w:val="000000"/>
          <w:sz w:val="20"/>
          <w:cs/>
        </w:rPr>
        <w:t>’</w:t>
      </w:r>
      <w:r>
        <w:rPr>
          <w:rStyle w:val="Heading2"/>
          <w:b w:val="0"/>
          <w:color w:val="000000"/>
          <w:sz w:val="20"/>
        </w:rPr>
        <w:t xml:space="preserve">administration sur la mise en œuvre des recommandations(BGRI-WG) </w:t>
      </w:r>
      <w:r>
        <w:rPr>
          <w:rStyle w:val="Heading2"/>
          <w:b w:val="0"/>
          <w:sz w:val="20"/>
        </w:rPr>
        <w:t>(</w:t>
      </w:r>
      <w:hyperlink r:id="rId7" w:tgtFrame="_blank" w:history="1">
        <w:r>
          <w:rPr>
            <w:rStyle w:val="Hyperlink"/>
            <w:b w:val="0"/>
            <w:color w:val="034990"/>
            <w:sz w:val="20"/>
          </w:rPr>
          <w:t>https://www.icann.org/resources/pages/board-gac-2011-2012-02-28-en</w:t>
        </w:r>
      </w:hyperlink>
      <w:r>
        <w:rPr>
          <w:rStyle w:val="Heading2"/>
          <w:b w:val="0"/>
          <w:sz w:val="20"/>
        </w:rPr>
        <w:t>)</w:t>
      </w:r>
      <w:r>
        <w:rPr>
          <w:rStyle w:val="Heading2"/>
          <w:b w:val="0"/>
          <w:color w:val="000000"/>
          <w:sz w:val="20"/>
        </w:rPr>
        <w:t>a été créé pour mettre en place les recommandations du GAC liées à la première équipe de révision de la responsabilité et la transparence de l</w:t>
      </w:r>
      <w:r>
        <w:rPr>
          <w:rStyle w:val="Heading2"/>
          <w:rFonts w:cs="Century Gothic"/>
          <w:b w:val="0"/>
          <w:color w:val="000000"/>
          <w:sz w:val="20"/>
          <w:cs/>
        </w:rPr>
        <w:t>’</w:t>
      </w:r>
      <w:r>
        <w:rPr>
          <w:rStyle w:val="Heading2"/>
          <w:b w:val="0"/>
          <w:color w:val="000000"/>
          <w:sz w:val="20"/>
        </w:rPr>
        <w:t xml:space="preserve">ICANN (ATRT1), </w:t>
      </w:r>
      <w:hyperlink r:id="rId8" w:tgtFrame="_blank" w:history="1">
        <w:r>
          <w:rPr>
            <w:rStyle w:val="Hyperlink"/>
            <w:b w:val="0"/>
            <w:color w:val="034990"/>
            <w:sz w:val="20"/>
          </w:rPr>
          <w:t>https://www.icann.org/resources/reviews/specific-reviews/atrt</w:t>
        </w:r>
      </w:hyperlink>
      <w:r>
        <w:rPr>
          <w:rStyle w:val="Heading2"/>
          <w:b w:val="0"/>
          <w:sz w:val="20"/>
        </w:rPr>
        <w:t xml:space="preserve">.  </w:t>
      </w:r>
    </w:p>
    <w:p w:rsidR="00F3571E" w:rsidRPr="00C365F8" w:rsidRDefault="00F3571E" w:rsidP="00F3571E">
      <w:pPr>
        <w:pStyle w:val="Heading2"/>
        <w:rPr>
          <w:b w:val="0"/>
          <w:sz w:val="20"/>
          <w:szCs w:val="20"/>
        </w:rPr>
      </w:pPr>
    </w:p>
    <w:p w:rsidR="00F3571E" w:rsidRPr="00C365F8" w:rsidRDefault="00F3571E" w:rsidP="00F3571E">
      <w:pPr>
        <w:rPr>
          <w:rFonts w:ascii="Century Gothic" w:hAnsi="Century Gothic"/>
          <w:sz w:val="20"/>
          <w:szCs w:val="20"/>
        </w:rPr>
      </w:pPr>
      <w:r>
        <w:rPr>
          <w:rStyle w:val="Normal"/>
          <w:rFonts w:ascii="Century Gothic" w:hAnsi="Century Gothic"/>
          <w:color w:val="000000"/>
          <w:sz w:val="20"/>
        </w:rPr>
        <w:t>Par la suite, le mandat du BGRI a été élargi pour la mise en œuvre les recommandations du GAC liées à la deuxième équipe de révision de la responsabilité et la transparence de l</w:t>
      </w:r>
      <w:r>
        <w:rPr>
          <w:rStyle w:val="Normal"/>
          <w:rFonts w:ascii="Century Gothic" w:hAnsi="Century Gothic" w:cs="Century Gothic"/>
          <w:color w:val="000000"/>
          <w:sz w:val="20"/>
          <w:cs/>
        </w:rPr>
        <w:t>’</w:t>
      </w:r>
      <w:r>
        <w:rPr>
          <w:rStyle w:val="Normal"/>
          <w:rFonts w:ascii="Century Gothic" w:hAnsi="Century Gothic"/>
          <w:color w:val="000000"/>
          <w:sz w:val="20"/>
        </w:rPr>
        <w:t>ICANN (ATRT2),</w:t>
      </w:r>
      <w:r w:rsidR="00DB31D6">
        <w:rPr>
          <w:rStyle w:val="Normal"/>
          <w:rFonts w:ascii="Century Gothic" w:hAnsi="Century Gothic"/>
          <w:color w:val="000000"/>
          <w:sz w:val="20"/>
        </w:rPr>
        <w:t xml:space="preserve"> </w:t>
      </w:r>
      <w:hyperlink r:id="rId9" w:history="1">
        <w:r w:rsidR="00DB31D6" w:rsidRPr="0058291B">
          <w:rPr>
            <w:rStyle w:val="Hyperlink"/>
            <w:rFonts w:ascii="Century Gothic" w:hAnsi="Century Gothic"/>
            <w:sz w:val="20"/>
          </w:rPr>
          <w:t>https://www.icann.org/resources/reviews/specific-reviews/atrt</w:t>
        </w:r>
      </w:hyperlink>
      <w:r>
        <w:rPr>
          <w:rStyle w:val="Normal"/>
          <w:rFonts w:ascii="Century Gothic" w:hAnsi="Century Gothic"/>
          <w:sz w:val="20"/>
        </w:rPr>
        <w:t xml:space="preserve"> ;  </w:t>
      </w:r>
    </w:p>
    <w:p w:rsidR="00F3571E" w:rsidRPr="00C365F8" w:rsidRDefault="00F3571E" w:rsidP="00F3571E">
      <w:pPr>
        <w:rPr>
          <w:rFonts w:ascii="Century Gothic" w:hAnsi="Century Gothic"/>
          <w:sz w:val="20"/>
          <w:szCs w:val="20"/>
        </w:rPr>
      </w:pPr>
    </w:p>
    <w:p w:rsidR="00F3571E" w:rsidRPr="00C365F8" w:rsidRDefault="00F3571E" w:rsidP="00F3571E">
      <w:pPr>
        <w:rPr>
          <w:rFonts w:ascii="Century Gothic" w:hAnsi="Century Gothic"/>
          <w:color w:val="0000D4"/>
          <w:sz w:val="20"/>
          <w:szCs w:val="20"/>
        </w:rPr>
      </w:pPr>
      <w:r>
        <w:rPr>
          <w:rStyle w:val="Normal"/>
          <w:rFonts w:ascii="Century Gothic" w:hAnsi="Century Gothic"/>
          <w:sz w:val="20"/>
        </w:rPr>
        <w:t xml:space="preserve">Voir le Wiki </w:t>
      </w:r>
      <w:r>
        <w:rPr>
          <w:rStyle w:val="Normal"/>
          <w:rFonts w:ascii="Century Gothic" w:hAnsi="Century Gothic"/>
          <w:color w:val="000000"/>
          <w:sz w:val="20"/>
        </w:rPr>
        <w:t>de la mise en œuvre des recommandations de l</w:t>
      </w:r>
      <w:r>
        <w:rPr>
          <w:rStyle w:val="Normal"/>
          <w:rFonts w:ascii="Century Gothic" w:hAnsi="Century Gothic" w:cs="Century Gothic"/>
          <w:color w:val="000000"/>
          <w:sz w:val="20"/>
          <w:cs/>
        </w:rPr>
        <w:t>’</w:t>
      </w:r>
      <w:r>
        <w:rPr>
          <w:rStyle w:val="Normal"/>
          <w:rFonts w:ascii="Century Gothic" w:hAnsi="Century Gothic"/>
          <w:color w:val="000000"/>
          <w:sz w:val="20"/>
        </w:rPr>
        <w:t>ATRT2 -</w:t>
      </w:r>
      <w:r>
        <w:rPr>
          <w:rStyle w:val="Normal"/>
          <w:rFonts w:ascii="Century Gothic" w:hAnsi="Century Gothic"/>
          <w:color w:val="0000D4"/>
          <w:sz w:val="20"/>
          <w:u w:val="single"/>
        </w:rPr>
        <w:t xml:space="preserve"> </w:t>
      </w:r>
      <w:hyperlink r:id="rId10" w:history="1">
        <w:r>
          <w:rPr>
            <w:rStyle w:val="Hyperlink"/>
            <w:rFonts w:ascii="Century Gothic" w:hAnsi="Century Gothic"/>
            <w:sz w:val="20"/>
          </w:rPr>
          <w:t>https://community.icann.org/display/atrt/ATRT2 +Implementation +Program</w:t>
        </w:r>
      </w:hyperlink>
      <w:r>
        <w:rPr>
          <w:rStyle w:val="Normal"/>
          <w:rFonts w:ascii="Century Gothic" w:hAnsi="Century Gothic"/>
          <w:color w:val="0000D4"/>
          <w:sz w:val="20"/>
          <w:u w:val="single"/>
        </w:rPr>
        <w:t xml:space="preserve"> </w:t>
      </w:r>
      <w:r>
        <w:rPr>
          <w:rStyle w:val="Normal"/>
          <w:rFonts w:ascii="Century Gothic" w:hAnsi="Century Gothic"/>
          <w:color w:val="0000D4"/>
          <w:sz w:val="20"/>
        </w:rPr>
        <w:t xml:space="preserve">- </w:t>
      </w:r>
      <w:r>
        <w:rPr>
          <w:rStyle w:val="Normal"/>
          <w:rFonts w:ascii="Century Gothic" w:hAnsi="Century Gothic"/>
          <w:color w:val="000000"/>
          <w:sz w:val="20"/>
        </w:rPr>
        <w:t xml:space="preserve">voir la recommandation 6 pour les recommandations du GAC </w:t>
      </w:r>
    </w:p>
    <w:p w:rsidR="00F3571E" w:rsidRPr="006B0F0E" w:rsidRDefault="00F3571E" w:rsidP="00F3571E">
      <w:pPr>
        <w:pStyle w:val="BodyText"/>
        <w:rPr>
          <w:rFonts w:ascii="Century Gothic" w:hAnsi="Century Gothic"/>
        </w:rPr>
      </w:pPr>
    </w:p>
    <w:p w:rsidR="00F3571E" w:rsidRPr="006B0F0E" w:rsidRDefault="00F3571E" w:rsidP="00F3571E">
      <w:pPr>
        <w:pStyle w:val="BodyText"/>
        <w:rPr>
          <w:rFonts w:ascii="Century Gothic" w:hAnsi="Century Gothic"/>
          <w:b/>
        </w:rPr>
      </w:pPr>
      <w:r>
        <w:rPr>
          <w:rStyle w:val="BodyText"/>
          <w:rFonts w:ascii="Century Gothic" w:hAnsi="Century Gothic"/>
          <w:b/>
        </w:rPr>
        <w:t>Autres liens utiles :</w:t>
      </w:r>
    </w:p>
    <w:p w:rsidR="00F3571E" w:rsidRPr="00C365F8" w:rsidRDefault="00F3571E" w:rsidP="00F3571E">
      <w:pPr>
        <w:rPr>
          <w:rFonts w:ascii="Century Gothic" w:hAnsi="Century Gothic"/>
          <w:sz w:val="20"/>
          <w:szCs w:val="20"/>
          <w:lang w:bidi="ar-EG"/>
        </w:rPr>
      </w:pPr>
      <w:r>
        <w:rPr>
          <w:rStyle w:val="Normal"/>
          <w:rFonts w:ascii="Century Gothic" w:hAnsi="Century Gothic"/>
          <w:sz w:val="20"/>
        </w:rPr>
        <w:t>Recommandations finales de l</w:t>
      </w:r>
      <w:r>
        <w:rPr>
          <w:rStyle w:val="Normal"/>
          <w:rFonts w:ascii="Century Gothic" w:hAnsi="Century Gothic" w:cs="Century Gothic"/>
          <w:sz w:val="20"/>
          <w:cs/>
        </w:rPr>
        <w:t>’</w:t>
      </w:r>
      <w:r>
        <w:rPr>
          <w:rStyle w:val="Normal"/>
          <w:rFonts w:ascii="Century Gothic" w:hAnsi="Century Gothic"/>
          <w:sz w:val="20"/>
        </w:rPr>
        <w:t>ATRT1</w:t>
      </w:r>
      <w:r>
        <w:rPr>
          <w:rStyle w:val="Normal"/>
          <w:rFonts w:ascii="Century Gothic" w:hAnsi="Century Gothic" w:cs="Century Gothic"/>
          <w:sz w:val="20"/>
          <w:cs/>
        </w:rPr>
        <w:t xml:space="preserve">– </w:t>
      </w:r>
      <w:r>
        <w:rPr>
          <w:rStyle w:val="Normal"/>
          <w:rFonts w:ascii="Century Gothic" w:hAnsi="Century Gothic"/>
          <w:sz w:val="20"/>
        </w:rPr>
        <w:t>31 décembre 2010 :</w:t>
      </w:r>
    </w:p>
    <w:p w:rsidR="00F3571E" w:rsidRPr="00C365F8" w:rsidRDefault="00F3571E" w:rsidP="00F3571E">
      <w:pPr>
        <w:rPr>
          <w:rFonts w:ascii="Century Gothic" w:hAnsi="Century Gothic"/>
          <w:sz w:val="20"/>
          <w:szCs w:val="20"/>
          <w:lang w:bidi="ar-EG"/>
        </w:rPr>
      </w:pPr>
      <w:hyperlink r:id="rId11" w:history="1">
        <w:r>
          <w:rPr>
            <w:rStyle w:val="Normal"/>
            <w:rFonts w:ascii="Century Gothic" w:hAnsi="Century Gothic"/>
            <w:color w:val="0000D4"/>
            <w:sz w:val="20"/>
            <w:u w:val="single"/>
          </w:rPr>
          <w:t xml:space="preserve">http://www.icann.org/en/reviews/affirmation/atrt-final-recommendations-31dec10-en.pdf </w:t>
        </w:r>
      </w:hyperlink>
    </w:p>
    <w:p w:rsidR="00F3571E" w:rsidRPr="00C365F8" w:rsidRDefault="00F3571E" w:rsidP="00F3571E">
      <w:pPr>
        <w:pStyle w:val="ListParagraph"/>
        <w:rPr>
          <w:rFonts w:ascii="Century Gothic" w:hAnsi="Century Gothic"/>
          <w:sz w:val="20"/>
          <w:szCs w:val="20"/>
          <w:lang w:bidi="ar-EG"/>
        </w:rPr>
      </w:pPr>
    </w:p>
    <w:p w:rsidR="00F3571E" w:rsidRPr="00C365F8" w:rsidRDefault="00F3571E" w:rsidP="00F3571E">
      <w:pPr>
        <w:rPr>
          <w:rFonts w:ascii="Century Gothic" w:hAnsi="Century Gothic"/>
          <w:sz w:val="20"/>
          <w:szCs w:val="20"/>
          <w:lang w:bidi="ar-EG"/>
        </w:rPr>
      </w:pPr>
      <w:hyperlink r:id="rId12" w:history="1">
        <w:r>
          <w:rPr>
            <w:rStyle w:val="Normal"/>
            <w:rFonts w:ascii="Century Gothic" w:hAnsi="Century Gothic"/>
            <w:sz w:val="20"/>
          </w:rPr>
          <w:t xml:space="preserve">Rapport final de l’équipe de travail conjoint GAC/Conseil d’administration – 19 juin 2011 : </w:t>
        </w:r>
      </w:hyperlink>
    </w:p>
    <w:p w:rsidR="00F3571E" w:rsidRPr="00C365F8" w:rsidRDefault="00F3571E" w:rsidP="00F3571E">
      <w:pPr>
        <w:rPr>
          <w:rFonts w:ascii="Century Gothic" w:hAnsi="Century Gothic"/>
          <w:color w:val="0000D4"/>
          <w:sz w:val="20"/>
          <w:szCs w:val="20"/>
          <w:u w:val="single"/>
        </w:rPr>
      </w:pPr>
      <w:hyperlink r:id="rId13" w:history="1">
        <w:r>
          <w:rPr>
            <w:rStyle w:val="Normal"/>
            <w:rFonts w:ascii="Century Gothic" w:hAnsi="Century Gothic"/>
            <w:color w:val="0000D4"/>
            <w:sz w:val="20"/>
            <w:u w:val="single"/>
          </w:rPr>
          <w:t xml:space="preserve">http://www.icann.org/en/committees/board-gac-2009/board-gac-jwg-final-report-19jun11-en.pdf </w:t>
        </w:r>
      </w:hyperlink>
    </w:p>
    <w:p w:rsidR="00F3571E" w:rsidRPr="00C365F8" w:rsidRDefault="00F3571E" w:rsidP="00F3571E">
      <w:pPr>
        <w:rPr>
          <w:rFonts w:ascii="Century Gothic" w:hAnsi="Century Gothic"/>
          <w:color w:val="0000D4"/>
          <w:sz w:val="20"/>
          <w:szCs w:val="20"/>
          <w:u w:val="single"/>
        </w:rPr>
      </w:pPr>
    </w:p>
    <w:p w:rsidR="00F3571E" w:rsidRPr="00C365F8" w:rsidRDefault="00F3571E" w:rsidP="00F3571E">
      <w:pPr>
        <w:rPr>
          <w:rFonts w:ascii="Century Gothic" w:hAnsi="Century Gothic"/>
          <w:sz w:val="20"/>
          <w:szCs w:val="20"/>
          <w:lang w:bidi="ar-EG"/>
        </w:rPr>
      </w:pPr>
      <w:r>
        <w:rPr>
          <w:rStyle w:val="Normal"/>
          <w:rFonts w:ascii="Century Gothic" w:hAnsi="Century Gothic"/>
          <w:color w:val="000000"/>
          <w:sz w:val="20"/>
          <w:u w:val="single"/>
        </w:rPr>
        <w:t>Page d</w:t>
      </w:r>
      <w:r>
        <w:rPr>
          <w:rStyle w:val="Normal"/>
          <w:rFonts w:ascii="Century Gothic" w:hAnsi="Century Gothic" w:cs="Century Gothic"/>
          <w:color w:val="000000"/>
          <w:sz w:val="20"/>
          <w:u w:val="single"/>
          <w:cs/>
        </w:rPr>
        <w:t>’</w:t>
      </w:r>
      <w:r>
        <w:rPr>
          <w:rStyle w:val="Normal"/>
          <w:rFonts w:ascii="Century Gothic" w:hAnsi="Century Gothic"/>
          <w:color w:val="000000"/>
          <w:sz w:val="20"/>
          <w:u w:val="single"/>
        </w:rPr>
        <w:t>accueil de l</w:t>
      </w:r>
      <w:r>
        <w:rPr>
          <w:rStyle w:val="Normal"/>
          <w:rFonts w:ascii="Century Gothic" w:hAnsi="Century Gothic" w:cs="Century Gothic"/>
          <w:color w:val="000000"/>
          <w:sz w:val="20"/>
          <w:u w:val="single"/>
          <w:cs/>
        </w:rPr>
        <w:t>’</w:t>
      </w:r>
      <w:r>
        <w:rPr>
          <w:rStyle w:val="Normal"/>
          <w:rFonts w:ascii="Century Gothic" w:hAnsi="Century Gothic"/>
          <w:color w:val="000000"/>
          <w:sz w:val="20"/>
          <w:u w:val="single"/>
        </w:rPr>
        <w:t>ATRT de l</w:t>
      </w:r>
      <w:r>
        <w:rPr>
          <w:rStyle w:val="Normal"/>
          <w:rFonts w:ascii="Century Gothic" w:hAnsi="Century Gothic" w:cs="Century Gothic"/>
          <w:color w:val="000000"/>
          <w:sz w:val="20"/>
          <w:u w:val="single"/>
          <w:cs/>
        </w:rPr>
        <w:t>’</w:t>
      </w:r>
      <w:r>
        <w:rPr>
          <w:rStyle w:val="Normal"/>
          <w:rFonts w:ascii="Century Gothic" w:hAnsi="Century Gothic"/>
          <w:color w:val="000000"/>
          <w:sz w:val="20"/>
          <w:u w:val="single"/>
        </w:rPr>
        <w:t>ICANN :</w:t>
      </w:r>
      <w:r>
        <w:rPr>
          <w:rStyle w:val="Normal"/>
          <w:rFonts w:ascii="Century Gothic" w:hAnsi="Century Gothic"/>
          <w:color w:val="0000D4"/>
          <w:sz w:val="20"/>
          <w:u w:val="single"/>
        </w:rPr>
        <w:t xml:space="preserve"> </w:t>
      </w:r>
      <w:hyperlink r:id="rId14" w:history="1">
        <w:r>
          <w:rPr>
            <w:rStyle w:val="Hyperlink"/>
            <w:rFonts w:ascii="Century Gothic" w:hAnsi="Century Gothic"/>
            <w:sz w:val="20"/>
          </w:rPr>
          <w:t>https://www.icann.org/resources/accountability</w:t>
        </w:r>
      </w:hyperlink>
    </w:p>
    <w:p w:rsidR="00F3571E" w:rsidRPr="00E06DE4" w:rsidRDefault="00F3571E" w:rsidP="00F3571E">
      <w:pPr>
        <w:pStyle w:val="BodyText"/>
        <w:ind w:right="545"/>
      </w:pPr>
    </w:p>
    <w:p w:rsidR="00F3571E" w:rsidRDefault="00F3571E" w:rsidP="00F3571E">
      <w:pPr>
        <w:pStyle w:val="Heading2"/>
      </w:pPr>
      <w:bookmarkStart w:id="1" w:name="_Hlk484433727"/>
      <w:r>
        <w:rPr>
          <w:rStyle w:val="Heading2"/>
        </w:rPr>
        <w:t>Gestion des documents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5439"/>
      </w:tblGrid>
      <w:tr w:rsidR="00F3571E" w:rsidRPr="003F43E3" w:rsidTr="00F3571E">
        <w:tc>
          <w:tcPr>
            <w:tcW w:w="3083" w:type="dxa"/>
            <w:vAlign w:val="center"/>
          </w:tcPr>
          <w:p w:rsidR="00F3571E" w:rsidRPr="002515B1" w:rsidRDefault="00F3571E" w:rsidP="00F3571E">
            <w:pPr>
              <w:ind w:right="-132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Style w:val="Normal"/>
                <w:rFonts w:ascii="Century Gothic" w:hAnsi="Century Gothic"/>
                <w:b/>
                <w:sz w:val="20"/>
              </w:rPr>
              <w:t>Titre</w:t>
            </w:r>
          </w:p>
        </w:tc>
        <w:tc>
          <w:tcPr>
            <w:tcW w:w="5439" w:type="dxa"/>
            <w:vAlign w:val="center"/>
          </w:tcPr>
          <w:p w:rsidR="00F3571E" w:rsidRPr="002515B1" w:rsidRDefault="00F3571E" w:rsidP="00F3571E">
            <w:pPr>
              <w:ind w:right="54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Style w:val="Normal"/>
                <w:rFonts w:ascii="Century Gothic" w:hAnsi="Century Gothic"/>
                <w:sz w:val="20"/>
              </w:rPr>
              <w:t>BGRI</w:t>
            </w:r>
          </w:p>
        </w:tc>
      </w:tr>
      <w:tr w:rsidR="00F3571E" w:rsidRPr="003F43E3" w:rsidTr="00F3571E">
        <w:tc>
          <w:tcPr>
            <w:tcW w:w="3083" w:type="dxa"/>
            <w:vAlign w:val="center"/>
          </w:tcPr>
          <w:p w:rsidR="00F3571E" w:rsidRPr="002515B1" w:rsidRDefault="00F3571E" w:rsidP="00F3571E">
            <w:pPr>
              <w:ind w:right="-132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Style w:val="Normal"/>
                <w:rFonts w:ascii="Century Gothic" w:hAnsi="Century Gothic"/>
                <w:b/>
                <w:sz w:val="20"/>
              </w:rPr>
              <w:t>Distribution</w:t>
            </w:r>
          </w:p>
        </w:tc>
        <w:tc>
          <w:tcPr>
            <w:tcW w:w="5439" w:type="dxa"/>
            <w:vAlign w:val="center"/>
          </w:tcPr>
          <w:p w:rsidR="00F3571E" w:rsidRPr="002515B1" w:rsidRDefault="00F3571E" w:rsidP="00F3571E">
            <w:pPr>
              <w:ind w:right="54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Style w:val="Normal"/>
                <w:rFonts w:ascii="Century Gothic" w:hAnsi="Century Gothic"/>
                <w:sz w:val="20"/>
              </w:rPr>
              <w:t>Membres du GAC</w:t>
            </w:r>
          </w:p>
        </w:tc>
      </w:tr>
      <w:tr w:rsidR="00F3571E" w:rsidRPr="003F43E3" w:rsidTr="00F3571E">
        <w:tc>
          <w:tcPr>
            <w:tcW w:w="3083" w:type="dxa"/>
            <w:vAlign w:val="center"/>
          </w:tcPr>
          <w:p w:rsidR="00F3571E" w:rsidRPr="002515B1" w:rsidRDefault="00F3571E" w:rsidP="00F3571E">
            <w:pPr>
              <w:ind w:right="-132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Style w:val="Normal"/>
                <w:rFonts w:ascii="Century Gothic" w:hAnsi="Century Gothic"/>
                <w:b/>
                <w:sz w:val="20"/>
              </w:rPr>
              <w:lastRenderedPageBreak/>
              <w:t>Date de distribution</w:t>
            </w:r>
          </w:p>
        </w:tc>
        <w:tc>
          <w:tcPr>
            <w:tcW w:w="5439" w:type="dxa"/>
            <w:vAlign w:val="center"/>
          </w:tcPr>
          <w:p w:rsidR="00F3571E" w:rsidRPr="002515B1" w:rsidRDefault="00F3571E" w:rsidP="00F3571E">
            <w:pPr>
              <w:ind w:right="54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Style w:val="Normal"/>
                <w:rFonts w:ascii="Century Gothic" w:hAnsi="Century Gothic"/>
                <w:sz w:val="20"/>
              </w:rPr>
              <w:t>7 juin 2018</w:t>
            </w:r>
          </w:p>
        </w:tc>
      </w:tr>
      <w:bookmarkEnd w:id="1"/>
    </w:tbl>
    <w:p w:rsidR="00F3571E" w:rsidRDefault="00F3571E" w:rsidP="00F3571E">
      <w:pPr>
        <w:pStyle w:val="BodyText"/>
        <w:ind w:right="545"/>
        <w:rPr>
          <w:color w:val="000000"/>
          <w:szCs w:val="20"/>
        </w:rPr>
      </w:pPr>
    </w:p>
    <w:p w:rsidR="00F3571E" w:rsidRPr="004361B1" w:rsidRDefault="00F3571E" w:rsidP="00F3571E">
      <w:pPr>
        <w:pStyle w:val="BodyText"/>
      </w:pPr>
    </w:p>
    <w:sectPr w:rsidR="00F3571E" w:rsidRPr="004361B1" w:rsidSect="00F3571E">
      <w:headerReference w:type="default" r:id="rId15"/>
      <w:footerReference w:type="even" r:id="rId16"/>
      <w:footerReference w:type="default" r:id="rId1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E04" w:rsidRDefault="00CB1E04">
      <w:r>
        <w:separator/>
      </w:r>
    </w:p>
  </w:endnote>
  <w:endnote w:type="continuationSeparator" w:id="0">
    <w:p w:rsidR="00CB1E04" w:rsidRDefault="00CB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71E" w:rsidRDefault="00F3571E" w:rsidP="00F3571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571E" w:rsidRDefault="00F3571E" w:rsidP="00F357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71E" w:rsidRDefault="00F3571E" w:rsidP="00F3571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F3571E" w:rsidRDefault="00F3571E" w:rsidP="00F357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E04" w:rsidRDefault="00CB1E04">
      <w:r>
        <w:separator/>
      </w:r>
    </w:p>
  </w:footnote>
  <w:footnote w:type="continuationSeparator" w:id="0">
    <w:p w:rsidR="00CB1E04" w:rsidRDefault="00CB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71E" w:rsidRDefault="00E77E0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1670685</wp:posOffset>
          </wp:positionH>
          <wp:positionV relativeFrom="paragraph">
            <wp:posOffset>-512445</wp:posOffset>
          </wp:positionV>
          <wp:extent cx="2124075" cy="1363980"/>
          <wp:effectExtent l="0" t="0" r="0" b="0"/>
          <wp:wrapNone/>
          <wp:docPr id="1" name="Picture 2" descr="Macintosh HD:Users:julia.charvolen:Desktop:GAC:GAC website:GAC logo :GAC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ulia.charvolen:Desktop:GAC:GAC website:GAC logo :GAC 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850A3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B4799"/>
    <w:multiLevelType w:val="multilevel"/>
    <w:tmpl w:val="E136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1D61E6"/>
    <w:multiLevelType w:val="multilevel"/>
    <w:tmpl w:val="203E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896B99"/>
    <w:multiLevelType w:val="hybridMultilevel"/>
    <w:tmpl w:val="101684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4E6B09"/>
    <w:multiLevelType w:val="hybridMultilevel"/>
    <w:tmpl w:val="2E480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E3F46"/>
    <w:multiLevelType w:val="hybridMultilevel"/>
    <w:tmpl w:val="46B28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348F7"/>
    <w:multiLevelType w:val="hybridMultilevel"/>
    <w:tmpl w:val="E00A97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072D34"/>
    <w:multiLevelType w:val="hybridMultilevel"/>
    <w:tmpl w:val="C03A2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B1"/>
    <w:rsid w:val="00252C97"/>
    <w:rsid w:val="00CB1E04"/>
    <w:rsid w:val="00DB31D6"/>
    <w:rsid w:val="00E77E06"/>
    <w:rsid w:val="00EA638D"/>
    <w:rsid w:val="00F3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597989-2073-4C52-8776-D07216DA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61B1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Heading1">
    <w:name w:val="heading 1"/>
    <w:next w:val="BodyText"/>
    <w:link w:val="Heading1Char"/>
    <w:uiPriority w:val="9"/>
    <w:qFormat/>
    <w:rsid w:val="004361B1"/>
    <w:pPr>
      <w:keepNext/>
      <w:keepLines/>
      <w:pageBreakBefore/>
      <w:pBdr>
        <w:top w:val="single" w:sz="4" w:space="1" w:color="00408E"/>
        <w:bottom w:val="single" w:sz="4" w:space="1" w:color="00408E"/>
      </w:pBdr>
      <w:spacing w:after="200" w:line="276" w:lineRule="auto"/>
      <w:outlineLvl w:val="0"/>
    </w:pPr>
    <w:rPr>
      <w:rFonts w:ascii="Century Gothic" w:hAnsi="Century Gothic"/>
      <w:b/>
      <w:color w:val="00408E"/>
      <w:sz w:val="28"/>
      <w:szCs w:val="28"/>
      <w:lang w:val="fr-FR" w:eastAsia="fr-FR"/>
    </w:rPr>
  </w:style>
  <w:style w:type="paragraph" w:styleId="Heading2">
    <w:name w:val="heading 2"/>
    <w:basedOn w:val="BodyText"/>
    <w:next w:val="BodyText"/>
    <w:link w:val="Heading2Char"/>
    <w:autoRedefine/>
    <w:uiPriority w:val="9"/>
    <w:unhideWhenUsed/>
    <w:qFormat/>
    <w:rsid w:val="00EA4C85"/>
    <w:pPr>
      <w:keepNext/>
      <w:keepLines/>
      <w:spacing w:after="0" w:line="276" w:lineRule="auto"/>
      <w:ind w:right="547"/>
      <w:outlineLvl w:val="1"/>
    </w:pPr>
    <w:rPr>
      <w:rFonts w:ascii="Century Gothic" w:eastAsia="Calibri" w:hAnsi="Century Gothic"/>
      <w:b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361B1"/>
    <w:rPr>
      <w:rFonts w:ascii="Century Gothic" w:eastAsia="Calibri" w:hAnsi="Century Gothic" w:cs="Times New Roman"/>
      <w:b/>
      <w:color w:val="00408E"/>
      <w:sz w:val="28"/>
      <w:szCs w:val="28"/>
      <w:lang w:val="fr-FR" w:eastAsia="fr-FR"/>
    </w:rPr>
  </w:style>
  <w:style w:type="character" w:customStyle="1" w:styleId="Heading2Char">
    <w:name w:val="Heading 2 Char"/>
    <w:link w:val="Heading2"/>
    <w:uiPriority w:val="9"/>
    <w:rsid w:val="00EA4C85"/>
    <w:rPr>
      <w:rFonts w:ascii="Century Gothic" w:eastAsia="Calibri" w:hAnsi="Century Gothic" w:cs="Times New Roman"/>
      <w:b/>
      <w:color w:val="2F5496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4361B1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HeaderChar">
    <w:name w:val="Header Char"/>
    <w:link w:val="Header"/>
    <w:uiPriority w:val="99"/>
    <w:rsid w:val="004361B1"/>
    <w:rPr>
      <w:rFonts w:eastAsia="Times New Roman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361B1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sid w:val="004361B1"/>
    <w:rPr>
      <w:rFonts w:eastAsia="Times New Roman"/>
      <w:lang w:val="fr-FR" w:eastAsia="fr-FR"/>
    </w:rPr>
  </w:style>
  <w:style w:type="character" w:styleId="PageNumber">
    <w:name w:val="page number"/>
    <w:basedOn w:val="DefaultParagraphFont"/>
    <w:uiPriority w:val="99"/>
    <w:semiHidden/>
    <w:unhideWhenUsed/>
    <w:rsid w:val="004361B1"/>
  </w:style>
  <w:style w:type="paragraph" w:styleId="BodyText">
    <w:name w:val="Body Text"/>
    <w:basedOn w:val="Normal"/>
    <w:link w:val="BodyTextChar"/>
    <w:uiPriority w:val="99"/>
    <w:unhideWhenUsed/>
    <w:rsid w:val="004361B1"/>
    <w:pPr>
      <w:spacing w:after="120"/>
    </w:pPr>
  </w:style>
  <w:style w:type="character" w:customStyle="1" w:styleId="BodyTextChar">
    <w:name w:val="Body Text Char"/>
    <w:link w:val="BodyText"/>
    <w:uiPriority w:val="99"/>
    <w:rsid w:val="004361B1"/>
    <w:rPr>
      <w:rFonts w:ascii="Times New Roman" w:eastAsia="Times New Roman" w:hAnsi="Times New Roman" w:cs="Times New Roman"/>
      <w:lang w:val="fr-FR" w:eastAsia="fr-FR"/>
    </w:rPr>
  </w:style>
  <w:style w:type="paragraph" w:styleId="ListParagraph">
    <w:name w:val="List Paragraph"/>
    <w:basedOn w:val="Normal"/>
    <w:uiPriority w:val="34"/>
    <w:qFormat/>
    <w:rsid w:val="004361B1"/>
    <w:pPr>
      <w:ind w:left="720"/>
      <w:contextualSpacing/>
    </w:pPr>
  </w:style>
  <w:style w:type="character" w:styleId="Hyperlink">
    <w:name w:val="Hyperlink"/>
    <w:uiPriority w:val="99"/>
    <w:unhideWhenUsed/>
    <w:rsid w:val="004361B1"/>
    <w:rPr>
      <w:color w:val="0563C1"/>
      <w:u w:val="single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4361B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361B1"/>
    <w:rPr>
      <w:b/>
      <w:bCs/>
      <w:lang w:val="fr-FR" w:eastAsia="fr-FR"/>
    </w:rPr>
  </w:style>
  <w:style w:type="character" w:styleId="FollowedHyperlink">
    <w:name w:val="FollowedHyperlink"/>
    <w:uiPriority w:val="99"/>
    <w:semiHidden/>
    <w:unhideWhenUsed/>
    <w:rsid w:val="008F68D5"/>
    <w:rPr>
      <w:color w:val="954F72"/>
      <w:u w:val="single"/>
      <w:lang w:val="fr-FR" w:eastAsia="fr-FR"/>
    </w:rPr>
  </w:style>
  <w:style w:type="character" w:styleId="UnresolvedMention">
    <w:name w:val="Unresolved Mention"/>
    <w:uiPriority w:val="99"/>
    <w:rsid w:val="00DB3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nn.org/resources/reviews/specific-reviews/atrt" TargetMode="External"/><Relationship Id="rId13" Type="http://schemas.openxmlformats.org/officeDocument/2006/relationships/hyperlink" Target="http://www.icann.org/en/committees/board-gac-2009/board-gac-jwg-final-report-19jun11-en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ann.org/resources/pages/board-gac-2011-2012-02-28-en" TargetMode="External"/><Relationship Id="rId12" Type="http://schemas.openxmlformats.org/officeDocument/2006/relationships/hyperlink" Target="http://www.icann.org/en/committees/board-gac-2009/board-gac-jwg-final-report-19jun11-en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ann.org/en/reviews/affirmation/atrt-final-recommendations-31dec10-en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community.icann.org/display/atrt/ATRT2+Implementation+Progra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cann.org/resources/reviews/specific-reviews/atrt" TargetMode="External"/><Relationship Id="rId14" Type="http://schemas.openxmlformats.org/officeDocument/2006/relationships/hyperlink" Target="https://www.icann.org/resources/accounta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3900</Characters>
  <Application>Microsoft Office Word</Application>
  <DocSecurity>0</DocSecurity>
  <Lines>100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4509</CharactersWithSpaces>
  <SharedDoc>false</SharedDoc>
  <HLinks>
    <vt:vector size="48" baseType="variant">
      <vt:variant>
        <vt:i4>8257587</vt:i4>
      </vt:variant>
      <vt:variant>
        <vt:i4>21</vt:i4>
      </vt:variant>
      <vt:variant>
        <vt:i4>0</vt:i4>
      </vt:variant>
      <vt:variant>
        <vt:i4>5</vt:i4>
      </vt:variant>
      <vt:variant>
        <vt:lpwstr>https://www.icann.org/resources/accountability</vt:lpwstr>
      </vt:variant>
      <vt:variant>
        <vt:lpwstr/>
      </vt:variant>
      <vt:variant>
        <vt:i4>7798901</vt:i4>
      </vt:variant>
      <vt:variant>
        <vt:i4>18</vt:i4>
      </vt:variant>
      <vt:variant>
        <vt:i4>0</vt:i4>
      </vt:variant>
      <vt:variant>
        <vt:i4>5</vt:i4>
      </vt:variant>
      <vt:variant>
        <vt:lpwstr>http://www.icann.org/en/committees/board-gac-2009/board-gac-jwg-final-report-19jun11-en.pdf</vt:lpwstr>
      </vt:variant>
      <vt:variant>
        <vt:lpwstr/>
      </vt:variant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http://www.icann.org/en/committees/board-gac-2009/board-gac-jwg-final-report-19jun11-en.pdf</vt:lpwstr>
      </vt:variant>
      <vt:variant>
        <vt:lpwstr/>
      </vt:variant>
      <vt:variant>
        <vt:i4>5701710</vt:i4>
      </vt:variant>
      <vt:variant>
        <vt:i4>12</vt:i4>
      </vt:variant>
      <vt:variant>
        <vt:i4>0</vt:i4>
      </vt:variant>
      <vt:variant>
        <vt:i4>5</vt:i4>
      </vt:variant>
      <vt:variant>
        <vt:lpwstr>http://www.icann.org/en/reviews/affirmation/atrt-final-recommendations-31dec10-en.pdf</vt:lpwstr>
      </vt:variant>
      <vt:variant>
        <vt:lpwstr/>
      </vt:variant>
      <vt:variant>
        <vt:i4>393305</vt:i4>
      </vt:variant>
      <vt:variant>
        <vt:i4>9</vt:i4>
      </vt:variant>
      <vt:variant>
        <vt:i4>0</vt:i4>
      </vt:variant>
      <vt:variant>
        <vt:i4>5</vt:i4>
      </vt:variant>
      <vt:variant>
        <vt:lpwstr>https://community.icann.org/display/atrt/ATRT2+Implementation+Program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https://www.icann.org/resources/reviews/specific-reviews/atrt</vt:lpwstr>
      </vt:variant>
      <vt:variant>
        <vt:lpwstr/>
      </vt:variant>
      <vt:variant>
        <vt:i4>4653123</vt:i4>
      </vt:variant>
      <vt:variant>
        <vt:i4>3</vt:i4>
      </vt:variant>
      <vt:variant>
        <vt:i4>0</vt:i4>
      </vt:variant>
      <vt:variant>
        <vt:i4>5</vt:i4>
      </vt:variant>
      <vt:variant>
        <vt:lpwstr>https://www.icann.org/resources/reviews/specific-reviews/atrt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https://www.icann.org/resources/pages/board-gac-2011-2012-02-28-en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Charvolen</dc:creator>
  <cp:keywords/>
  <dc:description/>
  <cp:lastModifiedBy>LS Pros</cp:lastModifiedBy>
  <cp:revision>2</cp:revision>
  <dcterms:created xsi:type="dcterms:W3CDTF">2018-06-19T15:43:00Z</dcterms:created>
  <dcterms:modified xsi:type="dcterms:W3CDTF">2018-06-19T15:43:00Z</dcterms:modified>
</cp:coreProperties>
</file>